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malariagen/ag1000g-phase3-data-paper@6cb50b8</w:t>
        </w:r>
      </w:hyperlink>
      <w:r>
        <w:t xml:space="preserve"> </w:t>
      </w:r>
      <w:r>
        <w:t xml:space="preserve">on October 26,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Anopheles gambiae 1000 Genomes consortium in 23 sets by consortial partners.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and Single Nucleotide Polymophisms (SNPs) called using GATK UnifiedGenotyper.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an ambiguous sex call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 (n=407).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this step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pecies-assignment-and-sex-calling"/>
      <w:r>
        <w:t xml:space="preserve">Species assignment and sex calling</w:t>
      </w:r>
      <w:bookmarkEnd w:id="30"/>
    </w:p>
    <w:p>
      <w:pPr>
        <w:pStyle w:val="FirstParagraph"/>
      </w:pPr>
      <w:r>
        <w:t xml:space="preserve">The Anopheles gambiae complex is a crypic group of sibling species, with no single locus offering unambiguous resolution of species.</w:t>
      </w:r>
    </w:p>
    <w:p>
      <w:pPr>
        <w:pStyle w:val="BodyText"/>
      </w:pPr>
      <w:r>
        <w:t xml:space="preserve">To identify species we looked beyond the conventional set of PCR based markers and applied a wider set of ancestry informative markers (AIMs).</w:t>
      </w:r>
    </w:p>
    <w:p>
      <w:pPr>
        <w:pStyle w:val="BodyText"/>
      </w:pPr>
      <w:r>
        <w:t xml:space="preserve">Species were not assigned to samples from laboratory colony crosses due to inbreeding and high levels of genetic drift.</w:t>
      </w:r>
    </w:p>
    <w:p>
      <w:pPr>
        <w:pStyle w:val="BodyText"/>
      </w:pPr>
      <w:r>
        <w:t xml:space="preserve">To distinguish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from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a set of novel markers was derived from data from the 16 genomes project (ref).</w:t>
      </w:r>
    </w:p>
    <w:p>
      <w:pPr>
        <w:pStyle w:val="BodyText"/>
      </w:pPr>
      <w:r>
        <w:t xml:space="preserve">Using cut offs based on agreement with the established PCR marker, 368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2415 as</w:t>
      </w:r>
      <w:r>
        <w:t xml:space="preserve"> </w:t>
      </w:r>
      <w:r>
        <w:rPr>
          <w:i/>
        </w:rPr>
        <w:t xml:space="preserve">A. gambiae s.l</w:t>
      </w:r>
      <w:r>
        <w:t xml:space="preserve">.</w:t>
      </w:r>
    </w:p>
    <w:p>
      <w:pPr>
        <w:pStyle w:val="BodyText"/>
      </w:pPr>
      <w:r>
        <w:t xml:space="preserve">A single individual collected in Tororo, Uganda is classed as intermediate- given the majority (XX%) of AIM SNPs in the genome are heterozygous between the gambiae-like and arabiensis-like alleles, this individual is likely to be an F1 hybrid.</w:t>
      </w:r>
    </w:p>
    <w:p>
      <w:pPr>
        <w:pStyle w:val="BodyText"/>
      </w:pPr>
      <w:r>
        <w:t xml:space="preserve">To resolve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as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729 AIMs identified by Neafsey et al (ref), and used by us in previous analyses (ref paper2, paper1).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individuals, 1571 were called as</w:t>
      </w:r>
      <w:r>
        <w:t xml:space="preserve"> </w:t>
      </w:r>
      <w:r>
        <w:rPr>
          <w:i/>
        </w:rPr>
        <w:t xml:space="preserve">A. gambiae s.s</w:t>
      </w:r>
      <w:r>
        <w:t xml:space="preserve">, 675 as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and 169 as intermediate (ref collection map).</w:t>
      </w:r>
    </w:p>
    <w:p>
      <w:pPr>
        <w:pStyle w:val="BodyText"/>
      </w:pPr>
      <w:r>
        <w:t xml:space="preserve">Many intermediate samples were sampled from the Western coast of West Africa (particularly The Gambia and Guinea Bissau), and given distinct populations of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are also found in this region, highlights the complexity of species relationships here.</w:t>
      </w:r>
    </w:p>
    <w:p>
      <w:pPr>
        <w:pStyle w:val="Heading3"/>
      </w:pPr>
      <w:bookmarkStart w:id="31" w:name="snp-filtering-and-quality"/>
      <w:r>
        <w:t xml:space="preserve">SNP filtering and quality</w:t>
      </w:r>
      <w:bookmarkEnd w:id="31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identify sites likely to contain genotyping errors.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10 of the 15 crosses were used to train the model while 5 were held out for validation.</w:t>
      </w:r>
    </w:p>
    <w:p>
      <w:pPr>
        <w:pStyle w:val="BodyText"/>
      </w:pPr>
      <w:r>
        <w:t xml:space="preserve">Each of the 5 pedigrees represent independent evaluation sets.</w:t>
      </w:r>
    </w:p>
    <w:p>
      <w:pPr>
        <w:pStyle w:val="BodyText"/>
      </w:pPr>
      <w:r>
        <w:t xml:space="preserve">Before applying the site filters, the false discovery rate (FDR) of the 5 crosses over all autosomal sites ranged between 0.74% and 1.10% (table XXX).</w:t>
      </w:r>
    </w:p>
    <w:p>
      <w:pPr>
        <w:pStyle w:val="BodyText"/>
      </w:pPr>
      <w:r>
        <w:t xml:space="preserve">The application of the site filters defines the accessible fraction of the genome at 72.58%, and the range of false discovery rates is 0.04% to 0.10%.</w:t>
      </w:r>
    </w:p>
    <w:p>
      <w:pPr>
        <w:pStyle w:val="BodyText"/>
      </w:pPr>
      <w:r>
        <w:t xml:space="preserve">The median fold change of FDR was -3.71.</w:t>
      </w:r>
    </w:p>
    <w:p>
      <w:pPr>
        <w:pStyle w:val="BodyText"/>
      </w:pPr>
      <w:r>
        <w:t xml:space="preserve">On the hemizygous X chromosome we used the more direct measure of heterozygote calls in males to ascertain mendelian error.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Pre-application of the site filters, subject to a Genotype Quality (GQ) threshold of 30, the median heterozygosity rate was 0.244%, and post filtering this drops to 0.023% (table XX).</w:t>
      </w:r>
    </w:p>
    <w:p>
      <w:pPr>
        <w:pStyle w:val="BodyText"/>
      </w:pPr>
      <w:r>
        <w:t xml:space="preserve">The median fold change in error rate was -3.33, with 69.97% of the X chromosome passing site filters.</w:t>
      </w:r>
    </w:p>
    <w:p>
      <w:pPr>
        <w:pStyle w:val="BodyText"/>
      </w:pPr>
      <w:r>
        <w:t xml:space="preserve">The new model based method represents a marked improvement over the site filters generated as part of phase 2.</w:t>
      </w:r>
    </w:p>
    <w:p>
      <w:pPr>
        <w:pStyle w:val="BodyText"/>
      </w:pPr>
      <w:r>
        <w:t xml:space="preserve">All 5 evaluation pedigrees showed a small reduction in FDR, but coupled with the lower rate of accessibility in phase 2 (62.05%) resulted in an significant improvement in Youden score (Table XXX) across autosomes.</w:t>
      </w:r>
    </w:p>
    <w:p>
      <w:pPr>
        <w:pStyle w:val="BodyText"/>
      </w:pPr>
      <w:r>
        <w:t xml:space="preserve">The X chromosome showed a similar pattern, the heterozygosity rate is similar to the new site filters (0.028%), but the higher accessibility in the updated filter set (69.97% vs 62.46%) yields improved sensitivity.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statistics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Place holders for tables.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SourceCode"/>
      </w:pP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caption: 'Result of heterozygote calls on male X chromosome'</w:t>
      </w:r>
      <w:r>
        <w:br/>
      </w:r>
      <w:r>
        <w:rPr>
          <w:rStyle w:val="VerbatimChar"/>
        </w:rPr>
        <w:t xml:space="preserve">alignment: LLLLLLLL</w:t>
      </w:r>
      <w:r>
        <w:br/>
      </w:r>
      <w:r>
        <w:rPr>
          <w:rStyle w:val="VerbatimChar"/>
        </w:rPr>
        <w:t xml:space="preserve">include: content/tables/mer_X.csv</w:t>
      </w:r>
      <w:r>
        <w:br/>
      </w:r>
      <w:r>
        <w:rPr>
          <w:rStyle w:val="VerbatimChar"/>
        </w:rPr>
        <w:t xml:space="preserve">csv-kwargs:</w:t>
      </w:r>
      <w:r>
        <w:br/>
      </w:r>
      <w:r>
        <w:rPr>
          <w:rStyle w:val="VerbatimChar"/>
        </w:rPr>
        <w:t xml:space="preserve">  dialect: unix</w:t>
      </w:r>
      <w:r>
        <w:br/>
      </w:r>
      <w:r>
        <w:rPr>
          <w:rStyle w:val="VerbatimChar"/>
        </w:rPr>
        <w:t xml:space="preserve">width: [0.2, 0.1, 0.1, 0.1, 0.1, 0.1, 0.1, 0.1]</w:t>
      </w:r>
      <w:r>
        <w:br/>
      </w:r>
      <w:r>
        <w:rPr>
          <w:rStyle w:val="VerbatimChar"/>
        </w:rPr>
        <w:t xml:space="preserve">---</w:t>
      </w:r>
    </w:p>
    <w:p>
      <w:pPr>
        <w:pStyle w:val="Heading3"/>
      </w:pPr>
      <w:bookmarkStart w:id="32" w:name="genome-accessibility"/>
      <w:r>
        <w:t xml:space="preserve">Genome accessibility</w:t>
      </w:r>
      <w:bookmarkEnd w:id="32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substantially lower values.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a strong basis for comparison accross species.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3" w:name="snp-discovery"/>
      <w:r>
        <w:t xml:space="preserve">SNP discovery</w:t>
      </w:r>
      <w:bookmarkEnd w:id="33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whole-genome-sequencing-and-alignment-1"/>
      <w:r>
        <w:t xml:space="preserve">Whole Genome Sequencing and Alignment</w:t>
      </w:r>
      <w:bookmarkEnd w:id="38"/>
    </w:p>
    <w:p>
      <w:pPr>
        <w:pStyle w:val="FirstParagraph"/>
      </w:pPr>
      <w:r>
        <w:t xml:space="preserve">4,693 individual mosquitoes were sequenced using the Illumina HiSeq2000 (n=3,130) and the Illumina HiSeqX (n=1,563) to a target coverage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250X by random downsampling.</w:t>
      </w:r>
    </w:p>
    <w:p>
      <w:pPr>
        <w:pStyle w:val="BodyText"/>
      </w:pPr>
      <w:r>
        <w:t xml:space="preserve">Full details of pipelines including all parameter settings are available in supplementary information.</w:t>
      </w:r>
    </w:p>
    <w:p>
      <w:pPr>
        <w:pStyle w:val="BodyText"/>
      </w:pPr>
      <w:r>
        <w:t xml:space="preserve">Following successfull completion of the pipeline samples entered the sample quality control (QC) process.</w:t>
      </w:r>
    </w:p>
    <w:p>
      <w:pPr>
        <w:pStyle w:val="Heading1"/>
      </w:pPr>
      <w:bookmarkStart w:id="39" w:name="sample-qc-1"/>
      <w:r>
        <w:t xml:space="preserve">Sample QC</w:t>
      </w:r>
      <w:bookmarkEnd w:id="39"/>
    </w:p>
    <w:p>
      <w:pPr>
        <w:pStyle w:val="FirstParagraph"/>
      </w:pPr>
      <w:r>
        <w:t xml:space="preserve">The sample QC process was composed of three distinct stages: sequence quality assurance, replicate handling, and anomaly detection.</w:t>
      </w:r>
    </w:p>
    <w:p>
      <w:pPr>
        <w:pStyle w:val="BodyText"/>
      </w:pPr>
      <w:r>
        <w:t xml:space="preserve">To meet the requirements of sequence quality assurance median coverage had to be at least 10X, and minumum 50% of the genome covered by at least 1X.</w:t>
      </w:r>
    </w:p>
    <w:p>
      <w:pPr>
        <w:pStyle w:val="BodyText"/>
      </w:pPr>
      <w:r>
        <w:t xml:space="preserve">We also implemented the test for contamination in NGS alignments described in Jun et al (https://doi.org/10.1016/j.ajhg.2012.09.004).</w:t>
      </w:r>
    </w:p>
    <w:p>
      <w:pPr>
        <w:pStyle w:val="BodyText"/>
      </w:pPr>
      <w:r>
        <w:t xml:space="preserve">Briefly the method estimates the likelihood of the observed alternate and reference allele counts under different contamination fractions given population allele frequencies.</w:t>
      </w:r>
    </w:p>
    <w:p>
      <w:pPr>
        <w:pStyle w:val="BodyText"/>
      </w:pPr>
      <w:r>
        <w:t xml:space="preserve">Population allele frequencies were estimated from the Ag1000G phase 2 data.</w:t>
      </w:r>
    </w:p>
    <w:p>
      <w:pPr>
        <w:pStyle w:val="BodyText"/>
      </w:pPr>
      <w:r>
        <w:t xml:space="preserve">The model computes a maximum likelihood value for a parameter representing percentage contamination (alpha).</w:t>
      </w:r>
    </w:p>
    <w:p>
      <w:pPr>
        <w:pStyle w:val="BodyText"/>
      </w:pPr>
      <w:r>
        <w:t xml:space="preserve">Where this parameter was 4.5% or greater the sample was excluded.</w:t>
      </w:r>
    </w:p>
    <w:p>
      <w:pPr>
        <w:pStyle w:val="BodyText"/>
      </w:pPr>
      <w:r>
        <w:t xml:space="preserve">We also made sex calls based on the modal coverage ratio X:3R.</w:t>
      </w:r>
    </w:p>
    <w:p>
      <w:pPr>
        <w:pStyle w:val="BodyText"/>
      </w:pPr>
      <w:r>
        <w:t xml:space="preserve">3R was selected as representative of autosomal coverage as it is free from inversions and large regions of heterochromatin.</w:t>
      </w:r>
    </w:p>
    <w:p>
      <w:pPr>
        <w:pStyle w:val="BodyText"/>
      </w:pPr>
      <w:r>
        <w:t xml:space="preserve">The modal coverage was used owing to concerns around the high skewdness of coverage distributions.</w:t>
      </w:r>
    </w:p>
    <w:p>
      <w:pPr>
        <w:pStyle w:val="BodyText"/>
      </w:pPr>
      <w:r>
        <w:t xml:space="preserve">To mitigate this further, when computing the modal coverage we only considered sites where coverage was at least 2X.</w:t>
      </w:r>
    </w:p>
    <w:p>
      <w:pPr>
        <w:pStyle w:val="BodyText"/>
      </w:pPr>
      <w:r>
        <w:t xml:space="preserve">The sample was classed as male where the coverage ratio was between 0.4-0.6, and female between 0.8-1.2.</w:t>
      </w:r>
    </w:p>
    <w:p>
      <w:pPr>
        <w:pStyle w:val="BodyText"/>
      </w:pPr>
      <w:r>
        <w:t xml:space="preserve">Where the ratio was outside these limits, the sex call was not made and the sample dropped.</w:t>
      </w:r>
    </w:p>
    <w:p>
      <w:pPr>
        <w:pStyle w:val="BodyText"/>
      </w:pPr>
      <w:r>
        <w:t xml:space="preserve">One of the submission sets from The Gambia, was composed entirely of Whole Genome Amplified (WGA) samples.</w:t>
      </w:r>
    </w:p>
    <w:p>
      <w:pPr>
        <w:pStyle w:val="BodyText"/>
      </w:pPr>
      <w:r>
        <w:t xml:space="preserve">These received a sex call where possible but the decision was made not to exclude based on ratio, due to the inherent value of this submission.</w:t>
      </w:r>
    </w:p>
    <w:p>
      <w:pPr>
        <w:pStyle w:val="BodyText"/>
      </w:pPr>
      <w:r>
        <w:t xml:space="preserve">The fact this set is entirely WGA was considered throughout the analysis of these samples.</w:t>
      </w:r>
    </w:p>
    <w:p>
      <w:pPr>
        <w:pStyle w:val="BodyText"/>
      </w:pPr>
      <w:r>
        <w:t xml:space="preserve">The sample QC process also included assessment of technical replicates.</w:t>
      </w:r>
    </w:p>
    <w:p>
      <w:pPr>
        <w:pStyle w:val="BodyText"/>
      </w:pPr>
      <w:r>
        <w:t xml:space="preserve">We computed pairwise genetic distance between all sample pairs within a submission set.</w:t>
      </w:r>
    </w:p>
    <w:p>
      <w:pPr>
        <w:pStyle w:val="BodyText"/>
      </w:pPr>
      <w:r>
        <w:t xml:space="preserve">The metric used was Hamming between alleles, so a genotype of 0/1 records a value of 1 against the genotype 1/2, allowing straightforward handling of multiallelic SNPs.</w:t>
      </w:r>
    </w:p>
    <w:p>
      <w:pPr>
        <w:pStyle w:val="BodyText"/>
      </w:pPr>
      <w:r>
        <w:t xml:space="preserve">Only sites where both samples had a genotype call were included, mean distance was calculated over a denominator of the number of assessed sites multiplied by 2 for diploidy.</w:t>
      </w:r>
    </w:p>
    <w:p>
      <w:pPr>
        <w:pStyle w:val="BodyText"/>
      </w:pPr>
      <w:r>
        <w:t xml:space="preserve">Computations were initially carried out on a downsampled set of 10 x 100,000 contiguous sites genome wide to be computationally feasible.</w:t>
      </w:r>
    </w:p>
    <w:p>
      <w:pPr>
        <w:pStyle w:val="BodyText"/>
      </w:pPr>
      <w:r>
        <w:t xml:space="preserve">This use of chunks was convenient to leverage the underlying storage of data in</w:t>
      </w:r>
      <w:r>
        <w:t xml:space="preserve"> </w:t>
      </w:r>
      <w:r>
        <w:rPr>
          <w:rStyle w:val="VerbatimChar"/>
        </w:rPr>
        <w:t xml:space="preserve">zarr</w:t>
      </w:r>
      <w:r>
        <w:t xml:space="preserve"> </w:t>
      </w:r>
      <w:r>
        <w:t xml:space="preserve">format.</w:t>
      </w:r>
    </w:p>
    <w:p>
      <w:pPr>
        <w:pStyle w:val="BodyText"/>
      </w:pPr>
      <w:r>
        <w:t xml:space="preserve">Where a pair of samples fell beneath a conservative threshold of 0.012, the true genetic distance (i.e. without downsampling) was computed across all sites.</w:t>
      </w:r>
    </w:p>
    <w:p>
      <w:pPr>
        <w:pStyle w:val="BodyText"/>
      </w:pPr>
      <w:r>
        <w:t xml:space="preserve">For each pair of technical replicates, we excluded both members of the pair where genetic distance was above 0.006.</w:t>
      </w:r>
    </w:p>
    <w:p>
      <w:pPr>
        <w:pStyle w:val="BodyText"/>
      </w:pPr>
      <w:r>
        <w:t xml:space="preserve">Where replicate pairs met the concordance threshold we excluded the lower quality sample.</w:t>
      </w:r>
    </w:p>
    <w:p>
      <w:pPr>
        <w:pStyle w:val="BodyText"/>
      </w:pPr>
      <w:r>
        <w:t xml:space="preserve">Quality was determined based on the skewdness of mean to median, i.e. </w:t>
      </w:r>
      <m:oMath>
        <m:r>
          <m:t>1</m:t>
        </m:r>
        <m:r>
          <m:t>−</m:t>
        </m:r>
        <m:r>
          <m:t>|</m:t>
        </m:r>
        <m:r>
          <m:t>m</m:t>
        </m:r>
        <m:r>
          <m:t>e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/</m:t>
        </m:r>
        <m:r>
          <m:t>m</m:t>
        </m:r>
        <m:r>
          <m:t>e</m:t>
        </m:r>
        <m:r>
          <m:t>d</m:t>
        </m:r>
        <m:r>
          <m:t>i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|</m:t>
        </m:r>
      </m:oMath>
      <w:r>
        <w:t xml:space="preserve">.</w:t>
      </w:r>
    </w:p>
    <w:p>
      <w:pPr>
        <w:pStyle w:val="BodyText"/>
      </w:pPr>
      <w:r>
        <w:t xml:space="preserve">The sample with the lower value was preferred as it suggests a more normal coverage distribution.</w:t>
      </w:r>
    </w:p>
    <w:p>
      <w:pPr>
        <w:pStyle w:val="BodyText"/>
      </w:pPr>
      <w:r>
        <w:t xml:space="preserve">To identify unknown replicate pairs as a result of sample mix ups or mislabelling, we screened within submission sets for unexpected pairs, using the genetic distance cut off of 0.006 as above.</w:t>
      </w:r>
    </w:p>
    <w:p>
      <w:pPr>
        <w:pStyle w:val="BodyText"/>
      </w:pPr>
      <w:r>
        <w:t xml:space="preserve">We did not attempt to identify unknown replicate pairs in the AG1000G-X submission set, made up of laboratory experimental crosses,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Using the PCA implementation in</w:t>
      </w:r>
      <w:r>
        <w:t xml:space="preserve"> </w:t>
      </w:r>
      <w:r>
        <w:rPr>
          <w:rStyle w:val="VerbatimChar"/>
        </w:rPr>
        <w:t xml:space="preserve">scikit-allel v2.1.0</w:t>
      </w:r>
      <w:r>
        <w:t xml:space="preserve"> </w:t>
      </w:r>
      <w:r>
        <w:t xml:space="preserve">we downsampled to 100,000 segregating non-singleton sites from chromosomes 3R and 3L, to avoid regions complicated by known introgression loci or paracentric inversions.</w:t>
      </w:r>
    </w:p>
    <w:p>
      <w:pPr>
        <w:pStyle w:val="BodyText"/>
      </w:pPr>
      <w:r>
        <w:t xml:space="preserve">Multiallelic sites were included as dummy rows by melting the data structure.</w:t>
      </w:r>
    </w:p>
    <w:p>
      <w:pPr>
        <w:pStyle w:val="BodyText"/>
      </w:pPr>
      <w:r>
        <w:t xml:space="preserve">A careful review process identified: a) samples that dominated single principal components, either individually or in very small numbers.</w:t>
      </w:r>
    </w:p>
    <w:p>
      <w:pPr>
        <w:pStyle w:val="BodyText"/>
      </w:pPr>
      <w:r>
        <w:t xml:space="preserve">This suggests an individual belonging to another Anopheline species, or some inherent problem with the sample.</w:t>
      </w:r>
    </w:p>
    <w:p>
      <w:pPr>
        <w:pStyle w:val="BodyText"/>
      </w:pPr>
      <w:r>
        <w:t xml:space="preserve">Or b) samples that clustered with other samples inconsistently with metadata.</w:t>
      </w:r>
    </w:p>
    <w:p>
      <w:pPr>
        <w:pStyle w:val="BodyText"/>
      </w:pPr>
      <w:r>
        <w:t xml:space="preserve">This was a subjective assessment, but bore in mind the given collection location, time, and PCR species assignment (where available) of the sample.</w:t>
      </w:r>
    </w:p>
    <w:p>
      <w:pPr>
        <w:pStyle w:val="BodyText"/>
      </w:pPr>
      <w:r>
        <w:t xml:space="preserve">Multiple geographical sites submitted by the same partner were also considered, where sample mix ups formed the most parsimonious explanations of incongruent clustering.</w:t>
      </w:r>
    </w:p>
    <w:p>
      <w:pPr>
        <w:pStyle w:val="Heading3"/>
      </w:pPr>
      <w:bookmarkStart w:id="40" w:name="species-assignment-and-sex-calling-1"/>
      <w:r>
        <w:t xml:space="preserve">Species assignment and sex calling</w:t>
      </w:r>
      <w:bookmarkEnd w:id="40"/>
    </w:p>
    <w:p>
      <w:pPr>
        <w:pStyle w:val="FirstParagraph"/>
      </w:pPr>
      <w:r>
        <w:t xml:space="preserve">Ancestry informative markers were used to assign species in our cohort.</w:t>
      </w:r>
    </w:p>
    <w:p>
      <w:pPr>
        <w:pStyle w:val="BodyText"/>
      </w:pPr>
      <w:r>
        <w:t xml:space="preserve">To derive markers informative between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 s.l.</w:t>
      </w:r>
      <w:r>
        <w:t xml:space="preserve">, we used publicly available data from the 16 genomes project (ref).</w:t>
      </w:r>
    </w:p>
    <w:p>
      <w:pPr>
        <w:pStyle w:val="BodyText"/>
      </w:pPr>
      <w:r>
        <w:t xml:space="preserve">Whole genome SNP calls called against the AgamP3 reference for 12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38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were available.</w:t>
      </w:r>
    </w:p>
    <w:p>
      <w:pPr>
        <w:pStyle w:val="BodyText"/>
      </w:pPr>
      <w:r>
        <w:t xml:space="preserve">Alleles were mapped onto the same alternate allele space, the frequencies of which were computed across both groups.</w:t>
      </w:r>
    </w:p>
    <w:p>
      <w:pPr>
        <w:pStyle w:val="BodyText"/>
      </w:pPr>
      <w:r>
        <w:t xml:space="preserve">Sites that were multiallelic in either group were excluded, as well as sites where any genotypes were missing.</w:t>
      </w:r>
    </w:p>
    <w:p>
      <w:pPr>
        <w:pStyle w:val="BodyText"/>
      </w:pPr>
      <w:r>
        <w:t xml:space="preserve">565,329 SNPs were identified as potentially informative where no shared alleles were present between groups.</w:t>
      </w:r>
    </w:p>
    <w:p>
      <w:pPr>
        <w:pStyle w:val="BodyText"/>
      </w:pPr>
      <w:r>
        <w:t xml:space="preserve">These were spread throughout the genome, but were concentrated on the X chromosome (63.2%), particularly around the Xag inversion.</w:t>
      </w:r>
    </w:p>
    <w:p>
      <w:pPr>
        <w:pStyle w:val="BodyText"/>
      </w:pPr>
      <w:r>
        <w:t xml:space="preserve">The full AIM set of positions and alleles are available as part of the phase 3 data release.</w:t>
      </w:r>
    </w:p>
    <w:p>
      <w:pPr>
        <w:pStyle w:val="BodyText"/>
      </w:pPr>
      <w:r>
        <w:t xml:space="preserve">Called genotypes for each individual in the dataset were cross referenced against a random subset of 50,000 ancestry informative marker alleles, genotype alleles were accordingly classified as gambiae-like or arabiensis-like.</w:t>
      </w:r>
    </w:p>
    <w:p>
      <w:pPr>
        <w:pStyle w:val="BodyText"/>
      </w:pPr>
      <w:r>
        <w:t xml:space="preserve">AIM fractions were cross referenced against PCR results available from a subset of inviduals.</w:t>
      </w:r>
    </w:p>
    <w:p>
      <w:pPr>
        <w:pStyle w:val="BodyText"/>
      </w:pPr>
      <w:r>
        <w:t xml:space="preserve">Given the relatively small number of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in the 16 genomes project- it was clear that a significant proportion of putative AIMs were not likely to be truly informative.</w:t>
      </w:r>
    </w:p>
    <w:p>
      <w:pPr>
        <w:pStyle w:val="BodyText"/>
      </w:pPr>
      <w:r>
        <w:t xml:space="preserve">Therefore, classification requirements are less rigourous than other sets of validated markers;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where a fraction &gt;0.6 of alleles were arabiensis-like (n=368), and as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where this value was &lt; 0.03 (n=2415).</w:t>
      </w:r>
    </w:p>
    <w:p>
      <w:pPr>
        <w:pStyle w:val="BodyText"/>
      </w:pPr>
      <w:r>
        <w:t xml:space="preserve">Species were not assigned to samples from the AG1000G-X submission due to inbreeding and high levels of genetic drift.</w:t>
      </w:r>
    </w:p>
    <w:p>
      <w:pPr>
        <w:pStyle w:val="BodyText"/>
      </w:pPr>
      <w:r>
        <w:t xml:space="preserve">A single individual collected in Tororo, Uganda is classed as intermediate- given the majority (XX%) of sites in the genome are heterozygous between the gambiae and arabiensis allele, this individual is likely to be an F1 hybrid.</w:t>
      </w:r>
    </w:p>
    <w:p>
      <w:pPr>
        <w:pStyle w:val="BodyText"/>
      </w:pPr>
      <w:r>
        <w:t xml:space="preserve">To resove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into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the 729 AIMs previously identified by Neafsey et al (ref).</w:t>
      </w:r>
    </w:p>
    <w:p>
      <w:pPr>
        <w:pStyle w:val="BodyText"/>
      </w:pPr>
      <w:r>
        <w:t xml:space="preserve">?? Need to find code that creates gambiae from neafsey set</w:t>
      </w:r>
    </w:p>
    <w:p>
      <w:pPr>
        <w:pStyle w:val="BodyText"/>
      </w:pPr>
      <w:r>
        <w:t xml:space="preserve">Cutoffs were made at &lt;0.12 (gambiae) and &gt;0.9 (coluzzii), with individuals between classed as intermediate.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s.l</w:t>
      </w:r>
      <w:r>
        <w:t xml:space="preserve"> </w:t>
      </w:r>
      <w:r>
        <w:t xml:space="preserve">individuals, 1571 were called as gambiae, 675 as coluzzii and 169 as intermediate (ref collection map).</w:t>
      </w:r>
    </w:p>
    <w:p>
      <w:pPr>
        <w:pStyle w:val="Heading3"/>
      </w:pPr>
      <w:bookmarkStart w:id="41" w:name="snp-filtering-and-quality-1"/>
      <w:r>
        <w:t xml:space="preserve">SNP filtering and quality</w:t>
      </w:r>
      <w:bookmarkEnd w:id="41"/>
    </w:p>
    <w:p>
      <w:pPr>
        <w:pStyle w:val="FirstParagraph"/>
      </w:pPr>
      <w:r>
        <w:t xml:space="preserve">Site filtering ensures that reported variation is of high quality.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using a decision tree model,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Inputs to the decision tree model are summary statistics from the set of SNP calls and genotype alignments.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resulting model to the summary statistics from arabiensis samples in the cohort,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predict the presence or absence of mendelian error, becoming a binary classification problem.</w:t>
      </w:r>
    </w:p>
    <w:p>
      <w:pPr>
        <w:pStyle w:val="BodyText"/>
      </w:pPr>
      <w:r>
        <w:t xml:space="preserve">Summary statistics used as input to the model are presented in table (ref).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summary statistics to build the initial site filters model came from females of these species (n=2415).</w:t>
      </w:r>
    </w:p>
    <w:p>
      <w:pPr>
        <w:pStyle w:val="BodyText"/>
      </w:pPr>
      <w:r>
        <w:t xml:space="preserve">Males were excluded, so that the model could also be applied without modification to the X chromosome.</w:t>
      </w:r>
    </w:p>
    <w:p>
      <w:pPr>
        <w:pStyle w:val="BodyText"/>
      </w:pPr>
      <w:r>
        <w:t xml:space="preserve">5 of the 15 crosses were held out for validation, so performance could be evaluated objectively.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decisions with clear explanations, and is similar in concept to the set of hard thresholds commonly used in SNP calling in non-model organisms.</w:t>
      </w:r>
    </w:p>
    <w:p>
      <w:pPr>
        <w:pStyle w:val="BodyText"/>
      </w:pPr>
      <w:r>
        <w:t xml:space="preserve">A set of trees with different parameter settings were learned, exploring the depth of trees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XX (CHECK NUMBERS)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Above definitions of PASS sites were retained, but independently within pedigrees, providing 5 distinct evaluation sets.</w:t>
      </w:r>
    </w:p>
    <w:p>
      <w:pPr>
        <w:pStyle w:val="BodyText"/>
      </w:pPr>
      <w:r>
        <w:t xml:space="preserve">To evaluate performance on the hemizygous X chromosome we use the more direct measure of heterozygote calls in males.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Male error rates were estimated from genotype calls with a minimum Genotype Quality (GQ) value of 30.</w:t>
      </w:r>
    </w:p>
    <w:p>
      <w:pPr>
        <w:pStyle w:val="BodyText"/>
      </w:pPr>
      <w:r>
        <w:t xml:space="preserve">A non heterozygote call is labelled PASS, and a heterozygote call FAIL.</w:t>
      </w:r>
    </w:p>
    <w:p>
      <w:pPr>
        <w:pStyle w:val="BodyText"/>
      </w:pPr>
      <w:r>
        <w:t xml:space="preserve">Error rates were computed for all crosses, over all chromosomes before and after application of site filters.</w:t>
      </w:r>
    </w:p>
    <w:p>
      <w:pPr>
        <w:pStyle w:val="BodyText"/>
      </w:pPr>
      <w:r>
        <w:t xml:space="preserve">We report the false positive rate (FPR), (i.e proportion of the genome considered accessible), and the Youden statistic (ratio of sensitivity to specificity).</w:t>
      </w:r>
    </w:p>
    <w:p>
      <w:pPr>
        <w:pStyle w:val="Heading2"/>
      </w:pPr>
      <w:bookmarkStart w:id="42" w:name="references"/>
      <w:r>
        <w:t xml:space="preserve">References</w:t>
      </w:r>
      <w:bookmarkEnd w:id="42"/>
    </w:p>
    <w:bookmarkStart w:id="43" w:name="refs"/>
    <w:bookmarkEnd w:id="43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6cb50b850b7c8d8b289bd7add08826b64fb497ad" TargetMode="External" /><Relationship Type="http://schemas.openxmlformats.org/officeDocument/2006/relationships/hyperlink" Id="rId20" Target="https://malariagen.github.io/ag1000g-phase3-data-paper/v/6cb50b850b7c8d8b289bd7add08826b64fb497ad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6cb50b850b7c8d8b289bd7add08826b64fb497ad" TargetMode="External" /><Relationship Type="http://schemas.openxmlformats.org/officeDocument/2006/relationships/hyperlink" Id="rId20" Target="https://malariagen.github.io/ag1000g-phase3-data-paper/v/6cb50b850b7c8d8b289bd7add08826b64fb497ad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2020-10-26T11:52:21Z</dcterms:created>
  <dcterms:modified xsi:type="dcterms:W3CDTF">2020-10-26T11:52:21Z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2020-10-26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